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3F" w:rsidRPr="00A56571" w:rsidRDefault="00A56571" w:rsidP="00A565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571">
        <w:rPr>
          <w:rFonts w:ascii="Times New Roman" w:hAnsi="Times New Roman" w:cs="Times New Roman"/>
          <w:b/>
          <w:sz w:val="28"/>
          <w:szCs w:val="28"/>
          <w:lang w:val="kk-KZ"/>
        </w:rPr>
        <w:t>9 Дәріс</w:t>
      </w:r>
    </w:p>
    <w:p w:rsidR="002C7778" w:rsidRDefault="00A56571" w:rsidP="00A56571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 w:rsidRPr="00A56571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PR материалдарының нанымдылығын арттыру үшін дәйексөздерді пайдаланудың теориялық негіздемесі</w:t>
      </w:r>
    </w:p>
    <w:p w:rsidR="00A56571" w:rsidRPr="00A56571" w:rsidRDefault="00A56571" w:rsidP="00A56571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</w:p>
    <w:p w:rsidR="00A56571" w:rsidRPr="00A56571" w:rsidRDefault="00A56571" w:rsidP="00A56571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ab/>
        <w:t xml:space="preserve">PR материалдарының нанымдылығын арттыру үшін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дәйексөздерді </w:t>
      </w:r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пайдаланудың теориялық негіздемесі келесі аспектілерді қамтиды:</w:t>
      </w:r>
    </w:p>
    <w:p w:rsidR="00A56571" w:rsidRPr="00A56571" w:rsidRDefault="00A56571" w:rsidP="00A56571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1. **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Сенім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және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билік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:**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Негізгі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тұлғалардың, сарапшылардың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немесе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клиенттердің дәйексөздері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сенім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сезімін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тудырады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және материалдың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беделін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арттырады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A56571" w:rsidRPr="00A56571" w:rsidRDefault="00A56571" w:rsidP="00A56571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2. **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Эмоционалды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байланыс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:** Дәйексөздер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жеке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байланыс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құру және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жеткізілетін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ақпараттың маңыздылығын көрсету арқылы аудиторияға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эмоционалды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әсер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етуі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мүмкін.</w:t>
      </w:r>
    </w:p>
    <w:p w:rsidR="00A56571" w:rsidRPr="00A56571" w:rsidRDefault="00A56571" w:rsidP="00A56571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**Сарапшының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пікірі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:**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Сарапшы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дәйексөздерін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пайдалану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материалды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қабылдауды күшейтетін кәсібилік пен құзыреттілікке баса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назар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аударады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A56571" w:rsidRPr="00A56571" w:rsidRDefault="00A56571" w:rsidP="00A56571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4. **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Табыс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мысалдары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:** Тұтынушылардың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немесе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өнімді пайдаланушылардың дәйексөздері нақты оң тәжірибені көрсететін табысқа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мысал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бола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алады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A56571" w:rsidRPr="00A56571" w:rsidRDefault="00A56571" w:rsidP="00A56571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5. **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Пікірді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көрсету:** Дәйексөздер брендтің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немесе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ұйымның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имиджін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қалыптастыруда маңызды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болып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табылатын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пікір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мен көзқарасты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білдіруге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мүмкіндік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береді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A56571" w:rsidRPr="00A56571" w:rsidRDefault="00A56571" w:rsidP="00A56571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6. **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Назар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аударту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:** Шығармашылық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немесе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лайықты түрде жасалған дәйексөздер оқырмандардың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назарын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аударады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және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материалды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басқалардан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ерекшелей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алады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A56571" w:rsidRPr="00A56571" w:rsidRDefault="00A56571" w:rsidP="00A56571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7. **Әлеуметтік қолдау:** Маңызды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адамдар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қолдауы мен мақұлдауын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білдірген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кезде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дәйексөздер әлеуметтік қолдау құралы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ретінде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қызмет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ете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алады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A56571" w:rsidRPr="00A56571" w:rsidRDefault="00A56571" w:rsidP="00A56571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8. **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Хабарларды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мәтінмәндік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ету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:** Дәйексөздер ұсынылып отырған ақпаратқа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жеке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немесе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кәсіби өлшем қосу арқылы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хабарламаларды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контекстке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келтіруге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көмектеседі. PR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материалдарында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тырнақшаларды теориялық қолдану олардың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сендіру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қабілетін арттырудағы, аудиторияның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эмоцияларына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әсер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етудегі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және бренд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немесе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хабарлама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туралы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жағымды қабылдауды құрудағы рөлін </w:t>
      </w:r>
      <w:proofErr w:type="spellStart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атап</w:t>
      </w:r>
      <w:proofErr w:type="spellEnd"/>
      <w:r w:rsidRPr="00A5657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көрсетеді.</w:t>
      </w:r>
    </w:p>
    <w:p w:rsidR="00A56571" w:rsidRDefault="00A56571" w:rsidP="00A56571">
      <w:pPr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  <w:lang w:val="kk-KZ"/>
        </w:rPr>
      </w:pPr>
    </w:p>
    <w:p w:rsidR="00A56571" w:rsidRPr="005A0129" w:rsidRDefault="00A56571" w:rsidP="00A56571">
      <w:pPr>
        <w:pStyle w:val="a5"/>
        <w:widowControl w:val="0"/>
        <w:autoSpaceDE w:val="0"/>
        <w:autoSpaceDN w:val="0"/>
        <w:adjustRightInd w:val="0"/>
        <w:spacing w:after="240"/>
        <w:rPr>
          <w:b/>
          <w:sz w:val="28"/>
          <w:szCs w:val="28"/>
          <w:lang w:val="kk-KZ"/>
        </w:rPr>
      </w:pPr>
      <w:r w:rsidRPr="005A0129">
        <w:rPr>
          <w:b/>
          <w:sz w:val="28"/>
          <w:szCs w:val="28"/>
          <w:lang w:val="kk-KZ"/>
        </w:rPr>
        <w:t xml:space="preserve">Әдебиеттер: </w:t>
      </w:r>
    </w:p>
    <w:p w:rsidR="00A56571" w:rsidRPr="005A0129" w:rsidRDefault="00A56571" w:rsidP="00A56571">
      <w:pPr>
        <w:pStyle w:val="a5"/>
        <w:widowControl w:val="0"/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  <w:lang w:val="kk-KZ"/>
        </w:rPr>
      </w:pPr>
      <w:r w:rsidRPr="005A0129">
        <w:rPr>
          <w:b/>
          <w:sz w:val="28"/>
          <w:szCs w:val="28"/>
          <w:u w:val="single"/>
          <w:lang w:val="kk-KZ"/>
        </w:rPr>
        <w:t>Негізгі</w:t>
      </w:r>
      <w:r w:rsidRPr="005A0129">
        <w:rPr>
          <w:sz w:val="28"/>
          <w:szCs w:val="28"/>
          <w:u w:val="single"/>
          <w:lang w:val="kk-KZ"/>
        </w:rPr>
        <w:t>:</w:t>
      </w:r>
      <w:r w:rsidRPr="005A0129">
        <w:rPr>
          <w:bCs/>
          <w:sz w:val="28"/>
          <w:szCs w:val="28"/>
          <w:u w:val="single"/>
        </w:rPr>
        <w:t xml:space="preserve"> </w:t>
      </w:r>
      <w:r w:rsidRPr="005A0129">
        <w:rPr>
          <w:color w:val="2C2D2E"/>
          <w:sz w:val="28"/>
          <w:szCs w:val="28"/>
        </w:rPr>
        <w:br/>
      </w:r>
    </w:p>
    <w:p w:rsidR="00A56571" w:rsidRPr="005A0129" w:rsidRDefault="00A56571" w:rsidP="00A565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r w:rsidRPr="005A0129">
        <w:rPr>
          <w:rFonts w:eastAsiaTheme="minorHAnsi"/>
          <w:sz w:val="28"/>
          <w:szCs w:val="28"/>
        </w:rPr>
        <w:t xml:space="preserve">Асланов  Т. </w:t>
      </w:r>
      <w:r w:rsidRPr="005A0129">
        <w:rPr>
          <w:rFonts w:eastAsiaTheme="minorHAnsi"/>
          <w:sz w:val="28"/>
          <w:szCs w:val="28"/>
          <w:lang w:val="en-US"/>
        </w:rPr>
        <w:t>PR</w:t>
      </w:r>
      <w:r w:rsidRPr="005A0129">
        <w:rPr>
          <w:rFonts w:eastAsiaTheme="minorHAnsi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eastAsiaTheme="minorHAnsi"/>
          <w:sz w:val="28"/>
          <w:szCs w:val="28"/>
        </w:rPr>
        <w:t>© Серия «Маркетинг для профессионалов», 2017</w:t>
      </w:r>
    </w:p>
    <w:p w:rsidR="00A56571" w:rsidRPr="005A0129" w:rsidRDefault="00A56571" w:rsidP="00A565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r w:rsidRPr="005A0129">
        <w:rPr>
          <w:rFonts w:eastAsiaTheme="minorHAnsi"/>
          <w:sz w:val="28"/>
          <w:szCs w:val="28"/>
        </w:rPr>
        <w:t xml:space="preserve">Миллер Д.  Метод </w:t>
      </w:r>
      <w:proofErr w:type="spellStart"/>
      <w:r w:rsidRPr="005A0129">
        <w:rPr>
          <w:rFonts w:eastAsiaTheme="minorHAnsi"/>
          <w:sz w:val="28"/>
          <w:szCs w:val="28"/>
          <w:lang w:val="en-US"/>
        </w:rPr>
        <w:t>StoryBrand</w:t>
      </w:r>
      <w:proofErr w:type="spellEnd"/>
      <w:r w:rsidRPr="005A0129">
        <w:rPr>
          <w:rFonts w:eastAsiaTheme="minorHAnsi"/>
          <w:sz w:val="28"/>
          <w:szCs w:val="28"/>
        </w:rPr>
        <w:t xml:space="preserve"> / Д. Миллер — «</w:t>
      </w:r>
      <w:proofErr w:type="spellStart"/>
      <w:r w:rsidRPr="005A0129">
        <w:rPr>
          <w:rFonts w:eastAsiaTheme="minorHAnsi"/>
          <w:sz w:val="28"/>
          <w:szCs w:val="28"/>
        </w:rPr>
        <w:t>Альпина</w:t>
      </w:r>
      <w:proofErr w:type="spellEnd"/>
      <w:r w:rsidRPr="005A0129">
        <w:rPr>
          <w:rFonts w:eastAsiaTheme="minorHAnsi"/>
          <w:sz w:val="28"/>
          <w:szCs w:val="28"/>
        </w:rPr>
        <w:t xml:space="preserve"> </w:t>
      </w:r>
      <w:proofErr w:type="spellStart"/>
      <w:r w:rsidRPr="005A0129">
        <w:rPr>
          <w:rFonts w:eastAsiaTheme="minorHAnsi"/>
          <w:sz w:val="28"/>
          <w:szCs w:val="28"/>
        </w:rPr>
        <w:t>Диджитал</w:t>
      </w:r>
      <w:proofErr w:type="spellEnd"/>
      <w:r w:rsidRPr="005A0129">
        <w:rPr>
          <w:rFonts w:eastAsiaTheme="minorHAnsi"/>
          <w:sz w:val="28"/>
          <w:szCs w:val="28"/>
        </w:rPr>
        <w:t>», 2017</w:t>
      </w:r>
    </w:p>
    <w:p w:rsidR="00A56571" w:rsidRPr="005A0129" w:rsidRDefault="00A56571" w:rsidP="00A565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proofErr w:type="spellStart"/>
      <w:r w:rsidRPr="005A0129">
        <w:rPr>
          <w:rFonts w:eastAsiaTheme="minorHAnsi"/>
          <w:iCs/>
          <w:sz w:val="28"/>
          <w:szCs w:val="28"/>
        </w:rPr>
        <w:t>Чумиков</w:t>
      </w:r>
      <w:proofErr w:type="spellEnd"/>
      <w:r w:rsidRPr="005A0129">
        <w:rPr>
          <w:rFonts w:eastAsiaTheme="minorHAnsi"/>
          <w:iCs/>
          <w:sz w:val="28"/>
          <w:szCs w:val="28"/>
        </w:rPr>
        <w:t xml:space="preserve"> А. Н</w:t>
      </w:r>
      <w:r w:rsidRPr="005A0129">
        <w:rPr>
          <w:rFonts w:eastAsiaTheme="minorHAnsi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eastAsiaTheme="minorHAnsi"/>
          <w:sz w:val="28"/>
          <w:szCs w:val="28"/>
        </w:rPr>
        <w:t>Кейсы</w:t>
      </w:r>
      <w:proofErr w:type="spellEnd"/>
      <w:r w:rsidRPr="005A0129">
        <w:rPr>
          <w:rFonts w:eastAsiaTheme="minorHAnsi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eastAsiaTheme="minorHAnsi"/>
          <w:sz w:val="28"/>
          <w:szCs w:val="28"/>
        </w:rPr>
        <w:t>Кнорус</w:t>
      </w:r>
      <w:proofErr w:type="spellEnd"/>
      <w:r w:rsidRPr="005A0129">
        <w:rPr>
          <w:rFonts w:eastAsiaTheme="minorHAnsi"/>
          <w:sz w:val="28"/>
          <w:szCs w:val="28"/>
        </w:rPr>
        <w:t xml:space="preserve">, 2010. 152 с. </w:t>
      </w:r>
    </w:p>
    <w:p w:rsidR="00A56571" w:rsidRPr="005A0129" w:rsidRDefault="00A56571" w:rsidP="00A565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proofErr w:type="spellStart"/>
      <w:r w:rsidRPr="005A0129">
        <w:rPr>
          <w:rFonts w:eastAsiaTheme="minorHAnsi"/>
          <w:bCs/>
          <w:sz w:val="28"/>
          <w:szCs w:val="28"/>
        </w:rPr>
        <w:t>Балахонская</w:t>
      </w:r>
      <w:proofErr w:type="spellEnd"/>
      <w:r w:rsidRPr="005A0129">
        <w:rPr>
          <w:rFonts w:eastAsiaTheme="minorHAnsi"/>
          <w:bCs/>
          <w:sz w:val="28"/>
          <w:szCs w:val="28"/>
        </w:rPr>
        <w:t xml:space="preserve">, Л. В. </w:t>
      </w:r>
      <w:r w:rsidRPr="005A0129">
        <w:rPr>
          <w:rFonts w:eastAsiaTheme="minorHAnsi"/>
          <w:sz w:val="28"/>
          <w:szCs w:val="28"/>
          <w:lang w:val="en-US"/>
        </w:rPr>
        <w:t>PR</w:t>
      </w:r>
      <w:r w:rsidRPr="005A0129">
        <w:rPr>
          <w:rFonts w:eastAsiaTheme="minorHAnsi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eastAsiaTheme="minorHAnsi"/>
          <w:sz w:val="28"/>
          <w:szCs w:val="28"/>
        </w:rPr>
        <w:t>хонская</w:t>
      </w:r>
      <w:proofErr w:type="spellEnd"/>
      <w:r w:rsidRPr="005A0129">
        <w:rPr>
          <w:rFonts w:eastAsiaTheme="minorHAnsi"/>
          <w:sz w:val="28"/>
          <w:szCs w:val="28"/>
        </w:rPr>
        <w:t>. — СПб.: Свое издательство, 2015. — 198 с.</w:t>
      </w:r>
    </w:p>
    <w:p w:rsidR="00A56571" w:rsidRPr="005A0129" w:rsidRDefault="00A56571" w:rsidP="00A565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proofErr w:type="spellStart"/>
      <w:r w:rsidRPr="005A0129">
        <w:rPr>
          <w:rFonts w:eastAsiaTheme="minorHAnsi"/>
          <w:iCs/>
          <w:sz w:val="28"/>
          <w:szCs w:val="28"/>
        </w:rPr>
        <w:lastRenderedPageBreak/>
        <w:t>Интернет-технологии</w:t>
      </w:r>
      <w:r w:rsidRPr="005A0129">
        <w:rPr>
          <w:rFonts w:eastAsiaTheme="minorHAnsi"/>
          <w:sz w:val="28"/>
          <w:szCs w:val="28"/>
        </w:rPr>
        <w:t>в</w:t>
      </w:r>
      <w:proofErr w:type="spellEnd"/>
      <w:r w:rsidRPr="005A0129">
        <w:rPr>
          <w:rFonts w:eastAsiaTheme="minorHAnsi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eastAsiaTheme="minorHAnsi"/>
          <w:sz w:val="28"/>
          <w:szCs w:val="28"/>
        </w:rPr>
        <w:t>Филатовои</w:t>
      </w:r>
      <w:proofErr w:type="spellEnd"/>
      <w:r w:rsidRPr="005A0129">
        <w:rPr>
          <w:rFonts w:eastAsiaTheme="minorHAnsi"/>
          <w:sz w:val="28"/>
          <w:szCs w:val="28"/>
        </w:rPr>
        <w:t>̆. СПб.: Роза мира, 2010. С. 107– 120.</w:t>
      </w:r>
    </w:p>
    <w:p w:rsidR="00A56571" w:rsidRPr="005A0129" w:rsidRDefault="00A56571" w:rsidP="00A565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A56571" w:rsidRPr="005A0129" w:rsidRDefault="00A56571" w:rsidP="00A56571">
      <w:pPr>
        <w:pStyle w:val="a5"/>
        <w:numPr>
          <w:ilvl w:val="0"/>
          <w:numId w:val="5"/>
        </w:numPr>
        <w:rPr>
          <w:color w:val="000000" w:themeColor="text1"/>
          <w:sz w:val="28"/>
          <w:szCs w:val="28"/>
          <w:lang w:val="kk-KZ"/>
        </w:rPr>
      </w:pPr>
      <w:r w:rsidRPr="005A0129">
        <w:rPr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A56571" w:rsidRPr="005A0129" w:rsidRDefault="00A56571" w:rsidP="00A56571">
      <w:pPr>
        <w:pStyle w:val="a5"/>
        <w:numPr>
          <w:ilvl w:val="0"/>
          <w:numId w:val="5"/>
        </w:numPr>
        <w:rPr>
          <w:color w:val="000000" w:themeColor="text1"/>
          <w:sz w:val="28"/>
          <w:szCs w:val="28"/>
          <w:lang w:val="kk-KZ"/>
        </w:rPr>
      </w:pPr>
      <w:r w:rsidRPr="005A0129">
        <w:rPr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A56571" w:rsidRPr="005A0129" w:rsidRDefault="00A56571" w:rsidP="00A56571">
      <w:pPr>
        <w:pStyle w:val="a5"/>
        <w:rPr>
          <w:color w:val="000000" w:themeColor="text1"/>
          <w:sz w:val="28"/>
          <w:szCs w:val="28"/>
          <w:lang w:val="kk-KZ"/>
        </w:rPr>
      </w:pPr>
    </w:p>
    <w:p w:rsidR="00A56571" w:rsidRPr="005A0129" w:rsidRDefault="00A56571" w:rsidP="00A565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A56571" w:rsidRPr="005A0129" w:rsidRDefault="00A56571" w:rsidP="00A56571">
      <w:pPr>
        <w:pStyle w:val="a5"/>
        <w:numPr>
          <w:ilvl w:val="0"/>
          <w:numId w:val="8"/>
        </w:numPr>
        <w:rPr>
          <w:sz w:val="28"/>
          <w:szCs w:val="28"/>
          <w:lang w:val="kk-KZ"/>
        </w:rPr>
      </w:pPr>
      <w:r w:rsidRPr="005A0129">
        <w:rPr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A56571" w:rsidRPr="005A0129" w:rsidRDefault="00A56571" w:rsidP="00A56571">
      <w:pPr>
        <w:pStyle w:val="1"/>
        <w:numPr>
          <w:ilvl w:val="0"/>
          <w:numId w:val="7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4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A56571" w:rsidRPr="005A0129" w:rsidRDefault="00A56571" w:rsidP="00A5657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  <w:lang w:val="en-US"/>
        </w:rPr>
      </w:pPr>
      <w:r w:rsidRPr="005A0129">
        <w:rPr>
          <w:rFonts w:eastAsiaTheme="minorHAnsi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eastAsiaTheme="minorHAnsi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A56571" w:rsidRPr="005A0129" w:rsidRDefault="00A56571" w:rsidP="00A5657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Style w:val="a4"/>
          <w:rFonts w:eastAsiaTheme="minorHAnsi"/>
          <w:sz w:val="28"/>
          <w:szCs w:val="28"/>
          <w:lang w:val="en-US"/>
        </w:rPr>
      </w:pPr>
      <w:r w:rsidRPr="005A0129">
        <w:rPr>
          <w:rFonts w:eastAsiaTheme="minorHAnsi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eastAsiaTheme="minorHAnsi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4"/>
            <w:rFonts w:eastAsiaTheme="minorHAnsi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A56571" w:rsidRPr="005A0129" w:rsidRDefault="00A56571" w:rsidP="00A5657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color w:val="000000"/>
          <w:sz w:val="28"/>
          <w:szCs w:val="28"/>
        </w:rPr>
      </w:pPr>
      <w:proofErr w:type="spellStart"/>
      <w:r w:rsidRPr="005A0129">
        <w:rPr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4"/>
            <w:bCs/>
            <w:sz w:val="28"/>
            <w:szCs w:val="28"/>
          </w:rPr>
          <w:t>https</w:t>
        </w:r>
        <w:proofErr w:type="spellEnd"/>
        <w:r w:rsidRPr="005A0129">
          <w:rPr>
            <w:rStyle w:val="a4"/>
            <w:bCs/>
            <w:sz w:val="28"/>
            <w:szCs w:val="28"/>
          </w:rPr>
          <w:t>://studfile.net/preview/5850678/</w:t>
        </w:r>
      </w:hyperlink>
    </w:p>
    <w:p w:rsidR="00A56571" w:rsidRPr="005A0129" w:rsidRDefault="00A56571" w:rsidP="00A56571">
      <w:pPr>
        <w:pStyle w:val="a5"/>
        <w:numPr>
          <w:ilvl w:val="0"/>
          <w:numId w:val="7"/>
        </w:numPr>
        <w:shd w:val="clear" w:color="auto" w:fill="FFFFFF"/>
        <w:rPr>
          <w:color w:val="222222"/>
          <w:sz w:val="28"/>
          <w:szCs w:val="28"/>
        </w:rPr>
      </w:pPr>
      <w:r w:rsidRPr="005A0129">
        <w:rPr>
          <w:rFonts w:eastAsiaTheme="minorHAnsi"/>
          <w:i/>
          <w:iCs/>
          <w:sz w:val="28"/>
          <w:szCs w:val="28"/>
        </w:rPr>
        <w:t xml:space="preserve">Кузьменкова М. А. </w:t>
      </w:r>
      <w:r w:rsidRPr="005A0129">
        <w:rPr>
          <w:rFonts w:eastAsiaTheme="minorHAnsi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eastAsiaTheme="minorHAnsi"/>
          <w:sz w:val="28"/>
          <w:szCs w:val="28"/>
        </w:rPr>
        <w:t>гражданскии</w:t>
      </w:r>
      <w:proofErr w:type="spellEnd"/>
      <w:r w:rsidRPr="005A0129">
        <w:rPr>
          <w:rFonts w:eastAsiaTheme="minorHAnsi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eastAsiaTheme="minorHAnsi"/>
          <w:sz w:val="28"/>
          <w:szCs w:val="28"/>
          <w:lang w:val="en-US"/>
        </w:rPr>
        <w:t>http</w:t>
      </w:r>
      <w:r w:rsidRPr="005A0129">
        <w:rPr>
          <w:rFonts w:eastAsiaTheme="minorHAnsi"/>
          <w:sz w:val="28"/>
          <w:szCs w:val="28"/>
        </w:rPr>
        <w:t>://</w:t>
      </w:r>
      <w:r w:rsidRPr="005A0129">
        <w:rPr>
          <w:rFonts w:eastAsiaTheme="minorHAnsi"/>
          <w:sz w:val="28"/>
          <w:szCs w:val="28"/>
          <w:lang w:val="en-US"/>
        </w:rPr>
        <w:t>www</w:t>
      </w:r>
      <w:r w:rsidRPr="005A0129">
        <w:rPr>
          <w:rFonts w:eastAsiaTheme="minorHAnsi"/>
          <w:sz w:val="28"/>
          <w:szCs w:val="28"/>
        </w:rPr>
        <w:t>.</w:t>
      </w:r>
      <w:proofErr w:type="spellStart"/>
      <w:r w:rsidRPr="005A0129">
        <w:rPr>
          <w:rFonts w:eastAsiaTheme="minorHAnsi"/>
          <w:sz w:val="28"/>
          <w:szCs w:val="28"/>
          <w:lang w:val="en-US"/>
        </w:rPr>
        <w:t>mediascope</w:t>
      </w:r>
      <w:proofErr w:type="spellEnd"/>
      <w:r w:rsidRPr="005A0129">
        <w:rPr>
          <w:rFonts w:eastAsiaTheme="minorHAnsi"/>
          <w:sz w:val="28"/>
          <w:szCs w:val="28"/>
        </w:rPr>
        <w:t>.</w:t>
      </w:r>
      <w:proofErr w:type="spellStart"/>
      <w:r w:rsidRPr="005A0129">
        <w:rPr>
          <w:rFonts w:eastAsiaTheme="minorHAnsi"/>
          <w:sz w:val="28"/>
          <w:szCs w:val="28"/>
          <w:lang w:val="en-US"/>
        </w:rPr>
        <w:t>ru</w:t>
      </w:r>
      <w:proofErr w:type="spellEnd"/>
      <w:r w:rsidRPr="005A0129">
        <w:rPr>
          <w:rFonts w:eastAsiaTheme="minorHAnsi"/>
          <w:sz w:val="28"/>
          <w:szCs w:val="28"/>
        </w:rPr>
        <w:t>/</w:t>
      </w:r>
      <w:r w:rsidRPr="005A0129">
        <w:rPr>
          <w:rFonts w:eastAsiaTheme="minorHAnsi"/>
          <w:sz w:val="28"/>
          <w:szCs w:val="28"/>
          <w:lang w:val="en-US"/>
        </w:rPr>
        <w:t>node</w:t>
      </w:r>
      <w:r w:rsidRPr="005A0129">
        <w:rPr>
          <w:rFonts w:eastAsiaTheme="minorHAnsi"/>
          <w:sz w:val="28"/>
          <w:szCs w:val="28"/>
        </w:rPr>
        <w:t>/708</w:t>
      </w:r>
    </w:p>
    <w:p w:rsidR="00A56571" w:rsidRPr="00A56571" w:rsidRDefault="00A56571" w:rsidP="00A56571">
      <w:pPr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</w:pPr>
    </w:p>
    <w:sectPr w:rsidR="00A56571" w:rsidRPr="00A56571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F17128"/>
    <w:rsid w:val="002055A5"/>
    <w:rsid w:val="002C7778"/>
    <w:rsid w:val="00A56571"/>
    <w:rsid w:val="00A971E2"/>
    <w:rsid w:val="00B61730"/>
    <w:rsid w:val="00CB113F"/>
    <w:rsid w:val="00F1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30"/>
    <w:rPr>
      <w:lang w:val="ru-RU"/>
    </w:rPr>
  </w:style>
  <w:style w:type="paragraph" w:styleId="1">
    <w:name w:val="heading 1"/>
    <w:basedOn w:val="a"/>
    <w:next w:val="a"/>
    <w:link w:val="10"/>
    <w:rsid w:val="002055A5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E2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55A5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4">
    <w:name w:val="Hyperlink"/>
    <w:uiPriority w:val="99"/>
    <w:rsid w:val="002055A5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2055A5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055A5"/>
    <w:rPr>
      <w:rFonts w:ascii="Times New Roman" w:eastAsia="Times New Roman" w:hAnsi="Times New Roman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2055A5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E2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55A5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4">
    <w:name w:val="Hyperlink"/>
    <w:uiPriority w:val="99"/>
    <w:rsid w:val="002055A5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2055A5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055A5"/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>RTRK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2</cp:revision>
  <dcterms:created xsi:type="dcterms:W3CDTF">2024-02-19T19:31:00Z</dcterms:created>
  <dcterms:modified xsi:type="dcterms:W3CDTF">2024-02-19T19:31:00Z</dcterms:modified>
</cp:coreProperties>
</file>